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margin">
              <wp:posOffset>0</wp:posOffset>
            </wp:positionH>
            <wp:positionV relativeFrom="paragraph">
              <wp:posOffset>25400</wp:posOffset>
            </wp:positionV>
            <wp:extent cx="530352" cy="530352"/>
            <wp:effectExtent l="0" t="0" r="0" b="0"/>
            <wp:wrapNone/>
            <wp:docPr id="1" name="Krondek mark" descr="Krondek logo: a K on a dark rounded squ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rondek-mark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530352" cy="530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Benjamin Lake </w:t>
      </w:r>
      <w:r>
        <w:rPr>
          <w:b/>
          <w:bCs/>
        </w:rPr>
        <w:t xml:space="preserve">Hamilton</w:t>
      </w:r>
    </w:p>
    <w:p>
      <w:pPr>
        <w:pStyle w:val="Subtitle"/>
      </w:pPr>
      <w:r>
        <w:t xml:space="preserve">Lead Product Designer  ·  UX Architecture  ·  Data-Rich &amp; AI Products</w:t>
      </w:r>
    </w:p>
    <w:p>
      <w:pPr>
        <w:pStyle w:val="Contact"/>
      </w:pPr>
      <w:r>
        <w:t xml:space="preserve">Minneapolis, MN</w:t>
      </w:r>
      <w:r>
        <w:rPr>
          <w:color w:val="A9ADB2"/>
        </w:rPr>
        <w:t xml:space="preserve">  |  </w:t>
      </w:r>
      <w:r>
        <w:t xml:space="preserve">(218) 535-1327</w:t>
      </w:r>
      <w:r>
        <w:rPr>
          <w:color w:val="A9ADB2"/>
        </w:rPr>
        <w:t xml:space="preserve">  |  </w:t>
      </w:r>
      <w:r>
        <w:rPr>
          <w:b/>
          <w:bCs/>
          <w:color w:val="16181C"/>
        </w:rPr>
        <w:t xml:space="preserve">ben@krondek.com</w:t>
      </w:r>
      <w:r>
        <w:rPr>
          <w:color w:val="A9ADB2"/>
        </w:rPr>
        <w:t xml:space="preserve">  |  </w:t>
      </w:r>
      <w:r>
        <w:rPr>
          <w:b/>
          <w:bCs/>
          <w:color w:val="16181C"/>
        </w:rPr>
        <w:t xml:space="preserve">krondek.com</w:t>
      </w:r>
      <w:r>
        <w:rPr>
          <w:color w:val="A9ADB2"/>
        </w:rPr>
        <w:t xml:space="preserve">  |  </w:t>
      </w:r>
      <w:r>
        <w:t xml:space="preserve">linkedin.com/in/krondek</w:t>
      </w:r>
    </w:p>
    <w:p>
      <w:pPr>
        <w:pStyle w:val="Positioning"/>
      </w:pPr>
      <w:r>
        <w:t xml:space="preserve">I design the </w:t>
      </w:r>
      <w:r>
        <w:rPr>
          <w:color w:val="1F3F8F"/>
        </w:rPr>
        <w:t xml:space="preserve">structure</w:t>
      </w:r>
      <w:r>
        <w:t xml:space="preserve"> behind data-rich enterprise products.</w:t>
      </w:r>
    </w:p>
    <w:p>
      <w:pPr>
        <w:pStyle w:val="Summary"/>
      </w:pPr>
      <w:r>
        <w:t xml:space="preserve">Product designer and UX architect with 20+ years designing data-rich enterprise products in healthcare, insurance and financial services, telecom, and B2B SaaS. I take complex, multi-product experiences from discovery and research through flows, prototypes, and the design systems that hold them together, with a specialty in information architecture and human + AI interaction for generative AI products. I've led and mentored designers, run design critiques on nearly every team I've joined, and taken part in hiring interviews.</w:t>
      </w:r>
    </w:p>
    <w:p>
      <w:pPr>
        <w:pStyle w:val="Heading1"/>
      </w:pPr>
      <w:r>
        <w:t xml:space="preserve">Selected Impact</w:t>
      </w:r>
    </w:p>
    <w:p>
      <w:pPr>
        <w:pStyle w:val="ListBullet"/>
      </w:pPr>
      <w:r>
        <w:rPr>
          <w:b/>
          <w:bCs/>
          <w:color w:val="16181C"/>
        </w:rPr>
        <w:t xml:space="preserve">62s </w:t>
      </w:r>
      <w:r>
        <w:rPr>
          <w:b/>
          <w:bCs/>
          <w:color w:val="1F3F8F"/>
        </w:rPr>
        <w:t xml:space="preserve">→</w:t>
      </w:r>
      <w:r>
        <w:rPr>
          <w:b/>
          <w:bCs/>
          <w:color w:val="16181C"/>
        </w:rPr>
        <w:t xml:space="preserve"> 24s</w:t>
      </w:r>
      <w:r>
        <w:t xml:space="preserve"> time to first useful insight in a generative AI trend-intelligence tool, measured in iterative usability testing</w:t>
      </w:r>
    </w:p>
    <w:p>
      <w:pPr>
        <w:pStyle w:val="ListBullet"/>
      </w:pPr>
      <w:r>
        <w:rPr>
          <w:b/>
          <w:bCs/>
          <w:color w:val="16181C"/>
        </w:rPr>
        <w:t xml:space="preserve">18% </w:t>
      </w:r>
      <w:r>
        <w:rPr>
          <w:b/>
          <w:bCs/>
          <w:color w:val="1F3F8F"/>
        </w:rPr>
        <w:t xml:space="preserve">→</w:t>
      </w:r>
      <w:r>
        <w:rPr>
          <w:b/>
          <w:bCs/>
          <w:color w:val="16181C"/>
        </w:rPr>
        <w:t xml:space="preserve"> 63%</w:t>
      </w:r>
      <w:r>
        <w:t xml:space="preserve"> weekly AI feature usage across a beta launch I supported with co-defined ethical-AI UX guidelines</w:t>
      </w:r>
    </w:p>
    <w:p>
      <w:pPr>
        <w:pStyle w:val="ListBullet"/>
      </w:pPr>
      <w:r>
        <w:rPr>
          <w:b/>
          <w:bCs/>
          <w:color w:val="16181C"/>
        </w:rPr>
        <w:t xml:space="preserve">12 weeks</w:t>
      </w:r>
      <w:r>
        <w:t xml:space="preserve"> from concept to a shipped claims MVP: a life-insurance claims redesign I co-led at Prudential</w:t>
      </w:r>
    </w:p>
    <w:p>
      <w:pPr>
        <w:pStyle w:val="ListBullet"/>
      </w:pPr>
      <w:r>
        <w:rPr>
          <w:b/>
          <w:bCs/>
          <w:color w:val="16181C"/>
        </w:rPr>
        <w:t xml:space="preserve">3+</w:t>
      </w:r>
      <w:r>
        <w:t xml:space="preserve"> enterprise design systems built or governed, including AXL 2, a token-based Figma library at Allianz Life</w:t>
      </w:r>
    </w:p>
    <w:p>
      <w:pPr>
        <w:pStyle w:val="Heading1"/>
      </w:pPr>
      <w:r>
        <w:t xml:space="preserve">Professional Experience</w:t>
      </w:r>
    </w:p>
    <w:p>
      <w:pPr>
        <w:pStyle w:val="Company"/>
      </w:pPr>
      <w:r>
        <w:t xml:space="preserve">Krondek Dev + UX</w:t>
      </w:r>
      <w:r>
        <w:rPr>
          <w:rFonts w:ascii="IBM Plex Sans" w:hAnsi="IBM Plex Sans" w:cs="IBM Plex Sans" w:eastAsia="IBM Plex Sans"/>
          <w:color w:val="565B61"/>
          <w:sz w:val="18"/>
          <w:szCs w:val="18"/>
        </w:rPr>
        <w:t xml:space="preserve">  |  Minneapolis, MN</w:t>
      </w:r>
    </w:p>
    <w:p>
      <w:pPr>
        <w:pStyle w:val="RoleLine"/>
      </w:pPr>
      <w:r>
        <w:t xml:space="preserve">Principal UX Architect &amp; Product Designer (Independent Practice)</w:t>
      </w:r>
      <w:r>
        <w:tab/>
      </w:r>
      <w:r>
        <w:rPr>
          <w:rFonts w:ascii="IBM Plex Mono" w:hAnsi="IBM Plex Mono" w:cs="IBM Plex Mono" w:eastAsia="IBM Plex Mono"/>
          <w:color w:val="676C72"/>
          <w:sz w:val="16"/>
          <w:szCs w:val="16"/>
        </w:rPr>
        <w:t xml:space="preserve">Aug 2009 - Present</w:t>
      </w:r>
    </w:p>
    <w:p>
      <w:pPr>
        <w:pStyle w:val="Blurb"/>
      </w:pPr>
      <w:r>
        <w:t xml:space="preserve">Independent practice for information architecture, product design, and design systems on complex products.</w:t>
      </w:r>
    </w:p>
    <w:p>
      <w:pPr>
        <w:pStyle w:val="Engagement"/>
      </w:pPr>
      <w:r>
        <w:t xml:space="preserve">High Plains Reader (commissioned, sole designer)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2026</w:t>
      </w:r>
    </w:p>
    <w:p>
      <w:pPr>
        <w:pStyle w:val="ListBullet"/>
      </w:pPr>
      <w:r>
        <w:t xml:space="preserve">Architected one </w:t>
      </w:r>
      <w:r>
        <w:rPr>
          <w:b/>
          <w:bCs/>
          <w:color w:val="16181C"/>
        </w:rPr>
        <w:t xml:space="preserve">account-setup system</w:t>
      </w:r>
      <w:r>
        <w:t xml:space="preserve"> spanning every product a community newspaper sells: a single entry point that reads intent, forks consumer from business, and assembles a setup flow whose length adapts to each choice; UX architecture and UI in Figma.</w:t>
      </w:r>
    </w:p>
    <w:p>
      <w:pPr>
        <w:pStyle w:val="Engagement"/>
      </w:pPr>
      <w:r>
        <w:t xml:space="preserve">B2B analytics platform: generative AI trend intelligence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Aug 2024 - Jan 2025</w:t>
      </w:r>
    </w:p>
    <w:p>
      <w:pPr>
        <w:pStyle w:val="ListBullet"/>
      </w:pPr>
      <w:r>
        <w:t xml:space="preserve">Designed </w:t>
      </w:r>
      <w:r>
        <w:rPr>
          <w:b/>
          <w:bCs/>
          <w:color w:val="16181C"/>
        </w:rPr>
        <w:t xml:space="preserve">human + AI interaction patterns</w:t>
      </w:r>
      <w:r>
        <w:t xml:space="preserve"> (signal feed, detail views, decision workspace) with confidence indicators and explanations that build trust in model outputs.</w:t>
      </w:r>
    </w:p>
    <w:p>
      <w:pPr>
        <w:pStyle w:val="ListBullet"/>
      </w:pPr>
      <w:r>
        <w:t xml:space="preserve">Reduced time-to-first-insight from </w:t>
      </w:r>
      <w:r>
        <w:rPr>
          <w:b/>
          <w:bCs/>
          <w:color w:val="16181C"/>
        </w:rPr>
        <w:t xml:space="preserve">62 seconds to 24 seconds</w:t>
      </w:r>
      <w:r>
        <w:t xml:space="preserve"> in usability testing by reframing ML trend detection as clear data visualizations and narrative.</w:t>
      </w:r>
    </w:p>
    <w:p>
      <w:pPr>
        <w:pStyle w:val="ListBullet"/>
      </w:pPr>
      <w:r>
        <w:t xml:space="preserve">Extended the product's Figma design system with reusable AI components (signal cards, confidence chips, explanation drawers) adopted across multiple product teams.</w:t>
      </w:r>
    </w:p>
    <w:p>
      <w:pPr>
        <w:pStyle w:val="ListBullet"/>
      </w:pPr>
      <w:r>
        <w:t xml:space="preserve">Partnered with Product, Data Science, Engineering, and Research to define ethical AI UX guidelines; supported a beta launch that grew weekly AI feature usage from </w:t>
      </w:r>
      <w:r>
        <w:rPr>
          <w:b/>
          <w:bCs/>
          <w:color w:val="16181C"/>
        </w:rPr>
        <w:t xml:space="preserve">18% to 63%</w:t>
      </w:r>
      <w:r>
        <w:t xml:space="preserve">.</w:t>
      </w:r>
    </w:p>
    <w:p>
      <w:pPr>
        <w:pStyle w:val="Engagement"/>
      </w:pPr>
      <w:r>
        <w:t xml:space="preserve">Studio years, Fargo, ND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2009 - 2016</w:t>
      </w:r>
    </w:p>
    <w:p>
      <w:pPr>
        <w:pStyle w:val="ListBullet"/>
      </w:pPr>
      <w:r>
        <w:t xml:space="preserve">Full-service web practice serving clients including </w:t>
      </w:r>
      <w:r>
        <w:rPr>
          <w:b/>
          <w:bCs/>
          <w:color w:val="16181C"/>
        </w:rPr>
        <w:t xml:space="preserve">Bobcat</w:t>
      </w:r>
      <w:r>
        <w:t xml:space="preserve">, </w:t>
      </w:r>
      <w:r>
        <w:rPr>
          <w:b/>
          <w:bCs/>
          <w:color w:val="16181C"/>
        </w:rPr>
        <w:t xml:space="preserve">RDO Equipment</w:t>
      </w:r>
      <w:r>
        <w:t xml:space="preserve">, </w:t>
      </w:r>
      <w:r>
        <w:rPr>
          <w:b/>
          <w:bCs/>
          <w:color w:val="16181C"/>
        </w:rPr>
        <w:t xml:space="preserve">WEX Health</w:t>
      </w:r>
      <w:r>
        <w:t xml:space="preserve">, </w:t>
      </w:r>
      <w:r>
        <w:rPr>
          <w:b/>
          <w:bCs/>
          <w:color w:val="16181C"/>
        </w:rPr>
        <w:t xml:space="preserve">Blue Cross Blue Shield</w:t>
      </w:r>
      <w:r>
        <w:t xml:space="preserve">, and </w:t>
      </w:r>
      <w:r>
        <w:rPr>
          <w:b/>
          <w:bCs/>
          <w:color w:val="16181C"/>
        </w:rPr>
        <w:t xml:space="preserve">NDSU</w:t>
      </w:r>
      <w:r>
        <w:t xml:space="preserve">.</w:t>
      </w:r>
    </w:p>
    <w:p>
      <w:pPr>
        <w:pStyle w:val="Company"/>
      </w:pPr>
      <w:r>
        <w:t xml:space="preserve">Allianz Life</w:t>
      </w:r>
      <w:r>
        <w:rPr>
          <w:rFonts w:ascii="IBM Plex Sans" w:hAnsi="IBM Plex Sans" w:cs="IBM Plex Sans" w:eastAsia="IBM Plex Sans"/>
          <w:color w:val="565B61"/>
          <w:sz w:val="18"/>
          <w:szCs w:val="18"/>
        </w:rPr>
        <w:t xml:space="preserve">  |  Golden Valley, MN (Hybrid)</w:t>
      </w:r>
    </w:p>
    <w:p>
      <w:pPr>
        <w:pStyle w:val="RoleLine"/>
      </w:pPr>
      <w:r>
        <w:t xml:space="preserve">UX Architect (Contract via Experis)</w:t>
      </w:r>
      <w:r>
        <w:tab/>
      </w:r>
      <w:r>
        <w:rPr>
          <w:rFonts w:ascii="IBM Plex Mono" w:hAnsi="IBM Plex Mono" w:cs="IBM Plex Mono" w:eastAsia="IBM Plex Mono"/>
          <w:color w:val="676C72"/>
          <w:sz w:val="16"/>
          <w:szCs w:val="16"/>
        </w:rPr>
        <w:t xml:space="preserve">Jun 2025 - Sep 2025</w:t>
      </w:r>
    </w:p>
    <w:p>
      <w:pPr>
        <w:pStyle w:val="ListBullet"/>
      </w:pPr>
      <w:r>
        <w:t xml:space="preserve">Established </w:t>
      </w:r>
      <w:r>
        <w:rPr>
          <w:b/>
          <w:bCs/>
          <w:color w:val="16181C"/>
        </w:rPr>
        <w:t xml:space="preserve">AXL 2</w:t>
      </w:r>
      <w:r>
        <w:t xml:space="preserve">, a token-based Figma library for complex policy and account data components, and governed its use across product teams; finalized dashboard architecture and information design for the secure </w:t>
      </w:r>
      <w:r>
        <w:rPr>
          <w:b/>
          <w:bCs/>
          <w:color w:val="16181C"/>
        </w:rPr>
        <w:t xml:space="preserve">allianzlife.com</w:t>
      </w:r>
      <w:r>
        <w:t xml:space="preserve"> redesign.</w:t>
      </w:r>
    </w:p>
    <w:p>
      <w:pPr>
        <w:pStyle w:val="ListBullet"/>
      </w:pPr>
      <w:r>
        <w:t xml:space="preserve">Ran discovery, card sorting, and remote usability testing (Userlytics, Miro, Figma) to validate IA and self-service behavior on data-heavy secure journeys.</w:t>
      </w:r>
    </w:p>
    <w:p>
      <w:pPr>
        <w:pStyle w:val="ListBullet"/>
      </w:pPr>
      <w:r>
        <w:t xml:space="preserve">Delivered sitemaps, taxonomies, and workflows that clarified high-value self-service paths and navigation.</w:t>
      </w:r>
    </w:p>
    <w:p>
      <w:pPr>
        <w:pStyle w:val="Company"/>
      </w:pPr>
      <w:r>
        <w:t xml:space="preserve">T-Mobile</w:t>
      </w:r>
      <w:r>
        <w:rPr>
          <w:rFonts w:ascii="IBM Plex Sans" w:hAnsi="IBM Plex Sans" w:cs="IBM Plex Sans" w:eastAsia="IBM Plex Sans"/>
          <w:color w:val="565B61"/>
          <w:sz w:val="18"/>
          <w:szCs w:val="18"/>
        </w:rPr>
        <w:t xml:space="preserve">  |  Remote</w:t>
      </w:r>
    </w:p>
    <w:p>
      <w:pPr>
        <w:pStyle w:val="RoleLine"/>
      </w:pPr>
      <w:r>
        <w:t xml:space="preserve">UX Architect / Lead (Contract via Insight Global)</w:t>
      </w:r>
      <w:r>
        <w:tab/>
      </w:r>
      <w:r>
        <w:rPr>
          <w:rFonts w:ascii="IBM Plex Mono" w:hAnsi="IBM Plex Mono" w:cs="IBM Plex Mono" w:eastAsia="IBM Plex Mono"/>
          <w:color w:val="676C72"/>
          <w:sz w:val="16"/>
          <w:szCs w:val="16"/>
        </w:rPr>
        <w:t xml:space="preserve">Nov 2023 - Apr 2024</w:t>
      </w:r>
    </w:p>
    <w:p>
      <w:pPr>
        <w:pStyle w:val="ListBullet"/>
      </w:pPr>
      <w:r>
        <w:t xml:space="preserve">Led UX architecture and end-to-end design for the </w:t>
      </w:r>
      <w:r>
        <w:rPr>
          <w:b/>
          <w:bCs/>
          <w:color w:val="16181C"/>
        </w:rPr>
        <w:t xml:space="preserve">wholesale customer onboarding platform</w:t>
      </w:r>
      <w:r>
        <w:t xml:space="preserve">, a B2B environment exposing complex account, pricing, and activation data to partner organizations.</w:t>
      </w:r>
    </w:p>
    <w:p>
      <w:pPr>
        <w:pStyle w:val="ListBullet"/>
      </w:pPr>
      <w:r>
        <w:t xml:space="preserve">Defined the UX vision, end-to-end flows, and interaction design; captured them in a scalable Figma design system covering status, eligibility, and error handling.</w:t>
      </w:r>
    </w:p>
    <w:p>
      <w:pPr>
        <w:pStyle w:val="ListBullet"/>
      </w:pPr>
      <w:r>
        <w:t xml:space="preserve">Ran discovery research and usability testing on multi-step onboarding to reduce drop-off; championed WCAG-aligned components and error-handling patterns across squads; mentored designers and ran design critiques.</w:t>
      </w:r>
    </w:p>
    <w:p>
      <w:pPr>
        <w:pStyle w:val="Company"/>
      </w:pPr>
      <w:r>
        <w:t xml:space="preserve">Surescripts</w:t>
      </w:r>
      <w:r>
        <w:rPr>
          <w:rFonts w:ascii="IBM Plex Sans" w:hAnsi="IBM Plex Sans" w:cs="IBM Plex Sans" w:eastAsia="IBM Plex Sans"/>
          <w:color w:val="565B61"/>
          <w:sz w:val="18"/>
          <w:szCs w:val="18"/>
        </w:rPr>
        <w:t xml:space="preserve">  |  Remote</w:t>
      </w:r>
    </w:p>
    <w:p>
      <w:pPr>
        <w:pStyle w:val="RoleLine"/>
      </w:pPr>
      <w:r>
        <w:t xml:space="preserve">Senior UX Designer</w:t>
      </w:r>
      <w:r>
        <w:tab/>
      </w:r>
      <w:r>
        <w:rPr>
          <w:rFonts w:ascii="IBM Plex Mono" w:hAnsi="IBM Plex Mono" w:cs="IBM Plex Mono" w:eastAsia="IBM Plex Mono"/>
          <w:color w:val="676C72"/>
          <w:sz w:val="16"/>
          <w:szCs w:val="16"/>
        </w:rPr>
        <w:t xml:space="preserve">Jun 2022 - Jan 2023</w:t>
      </w:r>
    </w:p>
    <w:p>
      <w:pPr>
        <w:pStyle w:val="ListBullet"/>
      </w:pPr>
      <w:r>
        <w:t xml:space="preserve">Owned UX for </w:t>
      </w:r>
      <w:r>
        <w:rPr>
          <w:b/>
          <w:bCs/>
          <w:color w:val="16181C"/>
        </w:rPr>
        <w:t xml:space="preserve">clinician-facing tools</w:t>
      </w:r>
      <w:r>
        <w:t xml:space="preserve"> surfacing dense clinical and medication data, a high-stakes environment where design errors translate to patient risk.</w:t>
      </w:r>
    </w:p>
    <w:p>
      <w:pPr>
        <w:pStyle w:val="ListBullet"/>
      </w:pPr>
      <w:r>
        <w:t xml:space="preserve">Researched high-risk workflows and redesigned flows, states, and messaging to reduce error risk and cognitive load on prescribers.</w:t>
      </w:r>
    </w:p>
    <w:p>
      <w:pPr>
        <w:pStyle w:val="ListBullet"/>
      </w:pPr>
      <w:r>
        <w:t xml:space="preserve">Extended standardized UI components to keep clinical states consistent across product teams; collaborated with Engineering and Compliance to meet HIPAA and WCAG requirements.</w:t>
      </w:r>
    </w:p>
    <w:p>
      <w:pPr>
        <w:pStyle w:val="Company"/>
      </w:pPr>
      <w:r>
        <w:t xml:space="preserve">Prudential Financial</w:t>
      </w:r>
      <w:r>
        <w:rPr>
          <w:rFonts w:ascii="IBM Plex Sans" w:hAnsi="IBM Plex Sans" w:cs="IBM Plex Sans" w:eastAsia="IBM Plex Sans"/>
          <w:color w:val="565B61"/>
          <w:sz w:val="18"/>
          <w:szCs w:val="18"/>
        </w:rPr>
        <w:t xml:space="preserve">  |  Remote</w:t>
      </w:r>
    </w:p>
    <w:p>
      <w:pPr>
        <w:pStyle w:val="RoleLine"/>
      </w:pPr>
      <w:r>
        <w:t xml:space="preserve">Senior Experience Designer (Contract via Robert Half)</w:t>
      </w:r>
      <w:r>
        <w:tab/>
      </w:r>
      <w:r>
        <w:rPr>
          <w:rFonts w:ascii="IBM Plex Mono" w:hAnsi="IBM Plex Mono" w:cs="IBM Plex Mono" w:eastAsia="IBM Plex Mono"/>
          <w:color w:val="676C72"/>
          <w:sz w:val="16"/>
          <w:szCs w:val="16"/>
        </w:rPr>
        <w:t xml:space="preserve">Nov 2021 - May 2022</w:t>
      </w:r>
    </w:p>
    <w:p>
      <w:pPr>
        <w:pStyle w:val="ListBullet"/>
      </w:pPr>
      <w:r>
        <w:t xml:space="preserve">Co-led UX for onboarding and beneficiary engagement across digital insurance services; shipped a redesigned </w:t>
      </w:r>
      <w:r>
        <w:rPr>
          <w:b/>
          <w:bCs/>
          <w:color w:val="16181C"/>
        </w:rPr>
        <w:t xml:space="preserve">claims MVP in 12 weeks</w:t>
      </w:r>
      <w:r>
        <w:t xml:space="preserve">.</w:t>
      </w:r>
    </w:p>
    <w:p>
      <w:pPr>
        <w:pStyle w:val="ListBullet"/>
      </w:pPr>
      <w:r>
        <w:t xml:space="preserve">Designed and tested workflows to increase self-service completion and reduce support call volume; streamlined IA through new sitemaps and user flows supporting future scalability.</w:t>
      </w:r>
    </w:p>
    <w:p>
      <w:pPr>
        <w:pStyle w:val="Company"/>
      </w:pPr>
      <w:r>
        <w:t xml:space="preserve">Land O'Lakes (Purina Digital Marketing)</w:t>
      </w:r>
      <w:r>
        <w:rPr>
          <w:rFonts w:ascii="IBM Plex Sans" w:hAnsi="IBM Plex Sans" w:cs="IBM Plex Sans" w:eastAsia="IBM Plex Sans"/>
          <w:color w:val="565B61"/>
          <w:sz w:val="18"/>
          <w:szCs w:val="18"/>
        </w:rPr>
        <w:t xml:space="preserve">  |  Arden Hills, MN</w:t>
      </w:r>
    </w:p>
    <w:p>
      <w:pPr>
        <w:pStyle w:val="RoleLine"/>
      </w:pPr>
      <w:r>
        <w:t xml:space="preserve">UX Architect / Technical Lead</w:t>
      </w:r>
      <w:r>
        <w:tab/>
      </w:r>
      <w:r>
        <w:rPr>
          <w:rFonts w:ascii="IBM Plex Mono" w:hAnsi="IBM Plex Mono" w:cs="IBM Plex Mono" w:eastAsia="IBM Plex Mono"/>
          <w:color w:val="676C72"/>
          <w:sz w:val="16"/>
          <w:szCs w:val="16"/>
        </w:rPr>
        <w:t xml:space="preserve">Jan 2018 - Oct 2021</w:t>
      </w:r>
    </w:p>
    <w:p>
      <w:pPr>
        <w:pStyle w:val="ListBullet"/>
      </w:pPr>
      <w:r>
        <w:t xml:space="preserve">Built and governed </w:t>
      </w:r>
      <w:r>
        <w:rPr>
          <w:b/>
          <w:bCs/>
          <w:color w:val="16181C"/>
        </w:rPr>
        <w:t xml:space="preserve">design systems</w:t>
      </w:r>
      <w:r>
        <w:t xml:space="preserve"> unifying brand expression, component usage, and accessibility across internal teams and external vendors.</w:t>
      </w:r>
    </w:p>
    <w:p>
      <w:pPr>
        <w:pStyle w:val="ListBullet"/>
      </w:pPr>
      <w:r>
        <w:t xml:space="preserve">Led and mentored designers and ran design critiques across B2B and B2C pet and agriculture initiatives: data-rich marketing, commerce, and partner platforms.</w:t>
      </w:r>
    </w:p>
    <w:p>
      <w:pPr>
        <w:pStyle w:val="ListBullet"/>
      </w:pPr>
      <w:r>
        <w:t xml:space="preserve">Partnered with Product, Marketing, and Engineering to align roadmaps on multi-stakeholder programs, including Salesforce CRM integration into partner and marketing workflows.</w:t>
      </w:r>
    </w:p>
    <w:p>
      <w:pPr>
        <w:pStyle w:val="Heading1"/>
      </w:pPr>
      <w:r>
        <w:t xml:space="preserve">Earlier Experience</w:t>
      </w:r>
    </w:p>
    <w:p>
      <w:pPr>
        <w:pStyle w:val="EarlierRole"/>
      </w:pPr>
      <w:r>
        <w:rPr>
          <w:b/>
          <w:bCs/>
          <w:color w:val="16181C"/>
        </w:rPr>
        <w:t xml:space="preserve">AE2S</w:t>
      </w:r>
      <w:r>
        <w:t xml:space="preserve">  |  Experience Designer / Developer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2016 - 2017</w:t>
      </w:r>
    </w:p>
    <w:p>
      <w:pPr>
        <w:pStyle w:val="EarlierRole"/>
      </w:pPr>
      <w:r>
        <w:rPr>
          <w:b/>
          <w:bCs/>
          <w:color w:val="16181C"/>
        </w:rPr>
        <w:t xml:space="preserve">Microsoft (Cloud &amp; Enterprise)</w:t>
      </w:r>
      <w:r>
        <w:t xml:space="preserve">  |  Sr. UX Developer (Contract)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2015 - 2016</w:t>
      </w:r>
    </w:p>
    <w:p>
      <w:pPr>
        <w:pStyle w:val="EarlierRole"/>
      </w:pPr>
      <w:r>
        <w:rPr>
          <w:b/>
          <w:bCs/>
          <w:color w:val="16181C"/>
        </w:rPr>
        <w:t xml:space="preserve">Flint Interactive</w:t>
      </w:r>
      <w:r>
        <w:t xml:space="preserve">  |  UX / Front-End Developer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2011 - 2013</w:t>
      </w:r>
    </w:p>
    <w:p>
      <w:pPr>
        <w:pStyle w:val="EarlierRole"/>
      </w:pPr>
      <w:r>
        <w:rPr>
          <w:b/>
          <w:bCs/>
          <w:color w:val="16181C"/>
        </w:rPr>
        <w:t xml:space="preserve">Sundog Interactive</w:t>
      </w:r>
      <w:r>
        <w:t xml:space="preserve">  |  Information Architect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2007 - 2011</w:t>
      </w:r>
    </w:p>
    <w:p>
      <w:pPr>
        <w:pStyle w:val="EarlierRole"/>
      </w:pPr>
      <w:r>
        <w:rPr>
          <w:b/>
          <w:bCs/>
          <w:color w:val="16181C"/>
        </w:rPr>
        <w:t xml:space="preserve">Sterling Security Research</w:t>
      </w:r>
      <w:r>
        <w:t xml:space="preserve">  |  Interactive Design Lead: web design, full-stack development, brand identity</w:t>
      </w:r>
      <w:r>
        <w:tab/>
      </w:r>
      <w:r>
        <w:rPr>
          <w:rFonts w:ascii="IBM Plex Mono" w:hAnsi="IBM Plex Mono" w:cs="IBM Plex Mono" w:eastAsia="IBM Plex Mono"/>
          <w:color w:val="676C72"/>
          <w:sz w:val="15"/>
          <w:szCs w:val="15"/>
        </w:rPr>
        <w:t xml:space="preserve">2003 - 2006</w:t>
      </w:r>
    </w:p>
    <w:p>
      <w:pPr>
        <w:pStyle w:val="Heading1"/>
      </w:pPr>
      <w:r>
        <w:t xml:space="preserve">Skills</w:t>
      </w:r>
    </w:p>
    <w:p>
      <w:pPr>
        <w:pStyle w:val="Meta"/>
      </w:pPr>
      <w:r>
        <w:rPr>
          <w:b/>
          <w:bCs/>
          <w:color w:val="16181C"/>
        </w:rPr>
        <w:t xml:space="preserve">Product &amp; UX design: </w:t>
      </w:r>
      <w:r>
        <w:t xml:space="preserve">End-to-end product design · interaction design · information architecture · navigation and taxonomy · wireframes · prototyping · responsive and mobile design · accessibility (WCAG 2.1 AA)</w:t>
      </w:r>
    </w:p>
    <w:p>
      <w:pPr>
        <w:pStyle w:val="Meta"/>
      </w:pPr>
      <w:r>
        <w:rPr>
          <w:b/>
          <w:bCs/>
          <w:color w:val="16181C"/>
        </w:rPr>
        <w:t xml:space="preserve">Research &amp; strategy: </w:t>
      </w:r>
      <w:r>
        <w:t xml:space="preserve">User research · usability testing · journey mapping · personas · workshops · A/B testing · discovery and prioritization · UX roadmapping</w:t>
      </w:r>
    </w:p>
    <w:p>
      <w:pPr>
        <w:pStyle w:val="Meta"/>
      </w:pPr>
      <w:r>
        <w:rPr>
          <w:b/>
          <w:bCs/>
          <w:color w:val="16181C"/>
        </w:rPr>
        <w:t xml:space="preserve">Systems &amp; AI: </w:t>
      </w:r>
      <w:r>
        <w:t xml:space="preserve">Design systems and governance (Figma, tokens) · human + AI interaction · generative AI UX · explainability · data visualization · dashboards</w:t>
      </w:r>
    </w:p>
    <w:p>
      <w:pPr>
        <w:pStyle w:val="Meta"/>
      </w:pPr>
      <w:r>
        <w:rPr>
          <w:b/>
          <w:bCs/>
          <w:color w:val="16181C"/>
        </w:rPr>
        <w:t xml:space="preserve">Leadership: </w:t>
      </w:r>
      <w:r>
        <w:t xml:space="preserve">Mentoring · design critique · hiring interviews · cross-functional facilitation · stakeholder alignment · Agile teams</w:t>
      </w:r>
    </w:p>
    <w:p>
      <w:pPr>
        <w:pStyle w:val="Meta"/>
      </w:pPr>
      <w:r>
        <w:rPr>
          <w:b/>
          <w:bCs/>
          <w:color w:val="16181C"/>
        </w:rPr>
        <w:t xml:space="preserve">Tools: </w:t>
      </w:r>
      <w:r>
        <w:t xml:space="preserve">Figma · FigJam · Axure RP · Miro · Userlytics · UserZoom · Jira · Confluence · HTML/CSS/JavaScript · Adobe CC · Claude Code</w:t>
      </w:r>
    </w:p>
    <w:p>
      <w:pPr>
        <w:pStyle w:val="Heading1"/>
      </w:pPr>
      <w:r>
        <w:t xml:space="preserve">Education</w:t>
      </w:r>
    </w:p>
    <w:p>
      <w:pPr>
        <w:pStyle w:val="Meta"/>
      </w:pPr>
      <w:r>
        <w:rPr>
          <w:b/>
          <w:bCs/>
          <w:color w:val="16181C"/>
        </w:rPr>
        <w:t xml:space="preserve">Minnesota State University Moorhead</w:t>
      </w:r>
      <w:r>
        <w:t xml:space="preserve">  |  Coursework toward B.A., Graphic Design</w:t>
      </w:r>
    </w:p>
    <w:p>
      <w:pPr>
        <w:pStyle w:val="Heading1"/>
      </w:pPr>
      <w:r>
        <w:t xml:space="preserve">Certifications</w:t>
      </w:r>
    </w:p>
    <w:p>
      <w:pPr>
        <w:pStyle w:val="Meta"/>
      </w:pPr>
      <w:r>
        <w:rPr>
          <w:b/>
          <w:bCs/>
          <w:color w:val="16181C"/>
        </w:rPr>
        <w:t xml:space="preserve">MIT xPRO: </w:t>
      </w:r>
      <w:r>
        <w:t xml:space="preserve">Designing and Building AI Products &amp; Services (2024)</w:t>
      </w:r>
      <w:r>
        <w:t xml:space="preserve">  ·  </w:t>
      </w:r>
      <w:r>
        <w:rPr>
          <w:b/>
          <w:bCs/>
          <w:color w:val="16181C"/>
        </w:rPr>
        <w:t xml:space="preserve">MIT Professional Education: </w:t>
      </w:r>
      <w:r>
        <w:t xml:space="preserve">AI and Product Design (2024)</w:t>
      </w:r>
    </w:p>
    <w:p>
      <w:pPr>
        <w:pStyle w:val="Meta"/>
      </w:pPr>
      <w:r>
        <w:rPr>
          <w:b/>
          <w:bCs/>
          <w:color w:val="16181C"/>
        </w:rPr>
        <w:t xml:space="preserve">Google: </w:t>
      </w:r>
      <w:r>
        <w:t xml:space="preserve">UX Design Professional Certificate (2024)</w:t>
      </w:r>
      <w:r>
        <w:t xml:space="preserve">  ·  </w:t>
      </w:r>
      <w:r>
        <w:rPr>
          <w:b/>
          <w:bCs/>
          <w:color w:val="16181C"/>
        </w:rPr>
        <w:t xml:space="preserve">Pragmatic Institute: </w:t>
      </w:r>
      <w:r>
        <w:t xml:space="preserve">PMC Level I &amp; II (2022–2023)</w:t>
      </w:r>
    </w:p>
    <w:p>
      <w:pPr>
        <w:pStyle w:val="Heading1"/>
      </w:pPr>
      <w:r>
        <w:t xml:space="preserve">Community</w:t>
      </w:r>
    </w:p>
    <w:p>
      <w:pPr>
        <w:pStyle w:val="Meta"/>
      </w:pPr>
      <w:r>
        <w:t xml:space="preserve">Education Mentor, </w:t>
      </w:r>
      <w:r>
        <w:rPr>
          <w:b/>
          <w:bCs/>
          <w:color w:val="16181C"/>
        </w:rPr>
        <w:t xml:space="preserve">Free Arts Minnesota</w:t>
      </w:r>
      <w:r>
        <w:t xml:space="preserve"> (2025–present)</w:t>
      </w:r>
    </w:p>
    <w:p>
      <w:pPr>
        <w:pStyle w:val="Meta"/>
      </w:pPr>
      <w:r>
        <w:t xml:space="preserve">Board of Directors &amp; Public Service Committee Chair, </w:t>
      </w:r>
      <w:r>
        <w:rPr>
          <w:b/>
          <w:bCs/>
          <w:color w:val="16181C"/>
        </w:rPr>
        <w:t xml:space="preserve">AAF North Dakota</w:t>
      </w:r>
    </w:p>
    <w:sectPr>
      <w:footerReference w:type="default" r:id="rIdFooter"/>
      <w:pgSz w:w="12240" w:h="15840"/>
      <w:pgMar w:top="648" w:right="864" w:bottom="720" w:left="864" w:header="432" w:footer="432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IBM Plex Sans">
    <w:charset w:val="00"/>
    <w:family w:val="swiss"/>
    <w:pitch w:val="variable"/>
    <w:embedRegular r:id="rIdF1" w:fontKey="{6CA48E29-9DB3-4C11-BEF8-0B03D636A014}"/>
    <w:embedBold r:id="rIdF2" w:fontKey="{A43A5528-E39D-4BEF-ADFD-0A0647F80343}"/>
    <w:embedItalic r:id="rIdF3" w:fontKey="{AC9EE4AC-9E92-421E-A58A-E8918DD287C1}"/>
  </w:font>
  <w:font w:name="Space Grotesk">
    <w:charset w:val="00"/>
    <w:family w:val="swiss"/>
    <w:pitch w:val="variable"/>
    <w:embedRegular r:id="rIdF4" w:fontKey="{CF48D13A-0111-4AC5-94F6-25FD6230A2FD}"/>
    <w:embedBold r:id="rIdF5" w:fontKey="{7C81060D-652C-4A30-9B64-31DF4B9F652E}"/>
  </w:font>
  <w:font w:name="IBM Plex Mono">
    <w:charset w:val="00"/>
    <w:family w:val="modern"/>
    <w:pitch w:val="fixed"/>
    <w:embedRegular r:id="rIdF6" w:fontKey="{25449A80-2521-44F3-A9A6-602C97973CF9}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</w:pP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t xml:space="preserve">Benjamin Lake Hamilton — Lead Product Designer</w: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tab/>
    </w:r>
    <w:r>
      <w:rPr>
        <w:rFonts w:ascii="IBM Plex Mono" w:hAnsi="IBM Plex Mono" w:cs="IBM Plex Mono" w:eastAsia="IBM Plex Mono"/>
        <w:caps/>
        <w:color w:val="1F3F8F"/>
        <w:spacing w:val="8"/>
        <w:sz w:val="14"/>
        <w:szCs w:val="14"/>
      </w:rPr>
      <w:t xml:space="preserve">krondek.com</w: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t xml:space="preserve">  ·  Page </w: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fldChar w:fldCharType="begin"/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instrText xml:space="preserve"> PAGE </w:instrTex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fldChar w:fldCharType="separate"/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t>1</w: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fldChar w:fldCharType="end"/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t xml:space="preserve"> of </w: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fldChar w:fldCharType="begin"/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instrText xml:space="preserve"> NUMPAGES </w:instrTex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fldChar w:fldCharType="separate"/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t>1</w:t>
    </w:r>
    <w:r>
      <w:rPr>
        <w:rFonts w:ascii="IBM Plex Mono" w:hAnsi="IBM Plex Mono" w:cs="IBM Plex Mono" w:eastAsia="IBM Plex Mono"/>
        <w:caps/>
        <w:color w:val="676C72"/>
        <w:spacing w:val="8"/>
        <w:sz w:val="14"/>
        <w:szCs w:val="14"/>
      </w:rPr>
      <w:fldChar w:fldCharType="end"/>
    </w:r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›"/>
      <w:lvlJc w:val="left"/>
      <w:pPr>
        <w:ind w:left="230" w:hanging="230"/>
      </w:pPr>
      <w:rPr>
        <w:rFonts w:ascii="IBM Plex Sans" w:hAnsi="IBM Plex Sans" w:cs="IBM Plex Sans" w:eastAsia="IBM Plex Sans"/>
        <w:b/>
        <w:bCs/>
        <w:color w:val="7E97D6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embedTrueTypeFonts/>
  <w:hideSpellingErrors/>
  <w:hideGrammaticalErrors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IBM Plex Sans" w:hAnsi="IBM Plex Sans" w:cs="IBM Plex Sans" w:eastAsia="IBM Plex Sans"/>
        <w:color w:val="33373D"/>
        <w:sz w:val="18"/>
        <w:szCs w:val="18"/>
      </w:rPr>
    </w:rPrDefault>
    <w:pPrDefault>
      <w:pPr>
        <w:spacing w:after="0" w:line="252" w:lineRule="auto"/>
      </w:pPr>
    </w:pPrDefault>
  </w:docDefaults>
  <w:style w:type="paragraph" w:styleId="Normal">
    <w:name w:val="Normal"/>
    <w:qFormat/>
  </w:style>
  <w:style w:type="paragraph" w:styleId="Title">
    <w:name w:val="Title"/>
    <w:basedOn w:val="Normal"/>
    <w:next w:val="Subtitle"/>
    <w:uiPriority w:val="10"/>
    <w:qFormat/>
    <w:pPr>
      <w:ind w:left="1000"/>
      <w:spacing w:after="40" w:line="240" w:lineRule="auto"/>
      <w:contextualSpacing/>
    </w:pPr>
    <w:rPr>
      <w:rFonts w:ascii="Space Grotesk" w:hAnsi="Space Grotesk" w:cs="Space Grotesk" w:eastAsia="Space Grotesk"/>
      <w:color w:val="16181C"/>
      <w:sz w:val="46"/>
      <w:szCs w:val="46"/>
    </w:rPr>
  </w:style>
  <w:style w:type="paragraph" w:styleId="Subtitle">
    <w:name w:val="Subtitle"/>
    <w:basedOn w:val="Normal"/>
    <w:uiPriority w:val="11"/>
    <w:qFormat/>
    <w:pPr>
      <w:ind w:left="1000"/>
      <w:spacing w:after="50"/>
    </w:pPr>
    <w:rPr>
      <w:rFonts w:ascii="IBM Plex Mono" w:hAnsi="IBM Plex Mono" w:cs="IBM Plex Mono" w:eastAsia="IBM Plex Mono"/>
      <w:caps/>
      <w:color w:val="1F3F8F"/>
      <w:spacing w:val="14"/>
      <w:sz w:val="15"/>
      <w:szCs w:val="15"/>
    </w:rPr>
  </w:style>
  <w:style w:type="paragraph" w:styleId="Contact">
    <w:name w:val="Contact"/>
    <w:basedOn w:val="Normal"/>
    <w:qFormat/>
    <w:pPr>
      <w:ind w:left="1000"/>
      <w:pBdr>
        <w:bottom w:val="single" w:sz="6" w:space="12" w:color="E1E3DE"/>
      </w:pBdr>
      <w:spacing w:after="150"/>
    </w:pPr>
    <w:rPr>
      <w:color w:val="4C5158"/>
      <w:sz w:val="17"/>
      <w:szCs w:val="17"/>
    </w:rPr>
  </w:style>
  <w:style w:type="paragraph" w:styleId="Positioning">
    <w:name w:val="Positioning"/>
    <w:basedOn w:val="Normal"/>
    <w:qFormat/>
    <w:pPr>
      <w:spacing w:after="70" w:line="240" w:lineRule="auto"/>
    </w:pPr>
    <w:rPr>
      <w:rFonts w:ascii="Space Grotesk" w:hAnsi="Space Grotesk" w:cs="Space Grotesk" w:eastAsia="Space Grotesk"/>
      <w:color w:val="16181C"/>
      <w:sz w:val="27"/>
      <w:szCs w:val="27"/>
    </w:rPr>
  </w:style>
  <w:style w:type="paragraph" w:styleId="Summary">
    <w:name w:val="Summary"/>
    <w:basedOn w:val="Normal"/>
    <w:qFormat/>
    <w:pPr>
      <w:spacing w:after="20"/>
    </w:pPr>
    <w:rPr>
      <w:sz w:val="18"/>
      <w:szCs w:val="18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4" w:space="3" w:color="E1E3DE"/>
      </w:pBdr>
      <w:spacing w:before="150" w:after="60"/>
      <w:outlineLvl w:val="0"/>
    </w:pPr>
    <w:rPr>
      <w:rFonts w:ascii="Space Grotesk" w:hAnsi="Space Grotesk" w:cs="Space Grotesk" w:eastAsia="Space Grotesk"/>
      <w:b/>
      <w:bCs/>
      <w:color w:val="16181C"/>
      <w:sz w:val="23"/>
      <w:szCs w:val="23"/>
    </w:rPr>
  </w:style>
  <w:style w:type="paragraph" w:styleId="Company">
    <w:name w:val="Company"/>
    <w:basedOn w:val="Normal"/>
    <w:qFormat/>
    <w:pPr>
      <w:keepNext/>
      <w:spacing w:before="110"/>
      <w:outlineLvl w:val="1"/>
    </w:pPr>
    <w:rPr>
      <w:rFonts w:ascii="Space Grotesk" w:hAnsi="Space Grotesk" w:cs="Space Grotesk" w:eastAsia="Space Grotesk"/>
      <w:b/>
      <w:bCs/>
      <w:color w:val="16181C"/>
      <w:sz w:val="21"/>
      <w:szCs w:val="21"/>
    </w:rPr>
  </w:style>
  <w:style w:type="paragraph" w:styleId="RoleLine">
    <w:name w:val="Role Line"/>
    <w:basedOn w:val="Normal"/>
    <w:qFormat/>
    <w:pPr>
      <w:keepNext/>
      <w:tabs>
        <w:tab w:val="right" w:pos="10512"/>
      </w:tabs>
      <w:spacing w:after="30"/>
    </w:pPr>
    <w:rPr>
      <w:b/>
      <w:bCs/>
      <w:color w:val="1F3F8F"/>
      <w:sz w:val="18"/>
      <w:szCs w:val="18"/>
    </w:rPr>
  </w:style>
  <w:style w:type="paragraph" w:styleId="Blurb">
    <w:name w:val="Blurb"/>
    <w:basedOn w:val="Normal"/>
    <w:qFormat/>
    <w:pPr>
      <w:keepNext/>
      <w:spacing w:after="40"/>
    </w:pPr>
    <w:rPr>
      <w:color w:val="4C5158"/>
      <w:sz w:val="17"/>
      <w:szCs w:val="17"/>
    </w:rPr>
  </w:style>
  <w:style w:type="paragraph" w:styleId="Engagement">
    <w:name w:val="Engagement"/>
    <w:basedOn w:val="Normal"/>
    <w:qFormat/>
    <w:pPr>
      <w:keepNext/>
      <w:tabs>
        <w:tab w:val="right" w:pos="10512"/>
      </w:tabs>
      <w:spacing w:before="50" w:after="10"/>
    </w:pPr>
    <w:rPr>
      <w:b/>
      <w:bCs/>
      <w:color w:val="16181C"/>
      <w:sz w:val="17"/>
      <w:szCs w:val="17"/>
    </w:r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230" w:hanging="230"/>
    </w:pPr>
    <w:rPr>
      <w:sz w:val="18"/>
      <w:szCs w:val="18"/>
    </w:rPr>
  </w:style>
  <w:style w:type="paragraph" w:styleId="EarlierRole">
    <w:name w:val="Earlier Role"/>
    <w:basedOn w:val="Normal"/>
    <w:qFormat/>
    <w:pPr>
      <w:tabs>
        <w:tab w:val="right" w:pos="10512"/>
      </w:tabs>
      <w:spacing w:after="30"/>
    </w:pPr>
    <w:rPr>
      <w:sz w:val="17"/>
      <w:szCs w:val="17"/>
    </w:rPr>
  </w:style>
  <w:style w:type="paragraph" w:styleId="Meta">
    <w:name w:val="Meta"/>
    <w:basedOn w:val="Normal"/>
    <w:qFormat/>
    <w:pPr>
      <w:spacing w:after="30"/>
    </w:pPr>
    <w:rPr>
      <w:sz w:val="17"/>
      <w:szCs w:val="17"/>
    </w:rPr>
  </w:style>
  <w:style w:type="paragraph" w:styleId="Footer">
    <w:name w:val="footer"/>
    <w:basedOn w:val="Normal"/>
    <w:pPr>
      <w:pBdr>
        <w:top w:val="single" w:sz="4" w:space="6" w:color="E1E3DE"/>
      </w:pBdr>
      <w:tabs>
        <w:tab w:val="right" w:pos="10512"/>
      </w:tabs>
    </w:pPr>
  </w:style>
</w:styles>
</file>

<file path=word/_rels/document.xml.rels><?xml version="1.0" encoding="UTF-8" standalone="yes"?>
<Relationships xmlns="http://schemas.openxmlformats.org/package/2006/relationships">
<Relationship Id="rIdStyles" Type="http://schemas.openxmlformats.org/officeDocument/2006/relationships/styles" Target="styles.xml"/><Relationship Id="rIdSettings" Type="http://schemas.openxmlformats.org/officeDocument/2006/relationships/settings" Target="settings.xml"/>
<Relationship Id="rIdFonts" Type="http://schemas.openxmlformats.org/officeDocument/2006/relationships/fontTable" Target="fontTable.xml"/><Relationship Id="rIdNumbering" Type="http://schemas.openxmlformats.org/officeDocument/2006/relationships/numbering" Target="numbering.xml"/>
<Relationship Id="rIdFooter" Type="http://schemas.openxmlformats.org/officeDocument/2006/relationships/footer" Target="footer1.xml"/><Relationship Id="rIdLogo" Type="http://schemas.openxmlformats.org/officeDocument/2006/relationships/image" Target="media/krondek-mark.png"/>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Relationship Id="rIdF6" Type="http://schemas.openxmlformats.org/officeDocument/2006/relationships/font" Target="fonts/font6.odttf"/></Relationships>
</file>

<file path=docProps/app.xml><?xml version="1.0" encoding="utf-8"?>
<Properties xmlns="http://schemas.openxmlformats.org/officeDocument/2006/extended-properties">
  <Application>Microsoft Office Word</Application>
  <Company>Krondek Dev + UX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Benjamin Lake Hamilton — Lead Product Designer</dc:title>
  <dc:creator>Benjamin Lake Hamilton</dc:creator>
  <cp:lastModifiedBy>Benjamin Lake Hamilton</cp:lastModifiedBy>
  <cp:keywords>Lead Product Designer; Senior Product Designer; UX Architect; Design Systems; Generative AI UX</cp:keywords>
  <dcterms:created xsi:type="dcterms:W3CDTF">2026-10-01T08:06:26Z</dcterms:created>
  <dcterms:modified xsi:type="dcterms:W3CDTF">2026-10-01T08:06:26Z</dcterms:modified>
</cp:coreProperties>
</file>